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0" w:type="pct"/>
        <w:tblInd w:w="224" w:type="dxa"/>
        <w:tblLayout w:type="fixed"/>
        <w:tblCellMar>
          <w:top w:w="54" w:type="dxa"/>
          <w:left w:w="54" w:type="dxa"/>
          <w:right w:w="54" w:type="dxa"/>
        </w:tblCellMar>
        <w:tblLook w:val="0000" w:firstRow="0" w:lastRow="0" w:firstColumn="0" w:lastColumn="0" w:noHBand="0" w:noVBand="0"/>
      </w:tblPr>
      <w:tblGrid>
        <w:gridCol w:w="8891"/>
      </w:tblGrid>
      <w:tr w:rsidR="004675F2" w:rsidRPr="004675F2" w:rsidTr="00CD775B">
        <w:tc>
          <w:tcPr>
            <w:tcW w:w="9638" w:type="dxa"/>
            <w:tcBorders>
              <w:top w:val="nil"/>
              <w:left w:val="nil"/>
              <w:bottom w:val="nil"/>
              <w:right w:val="nil"/>
            </w:tcBorders>
            <w:vAlign w:val="center"/>
          </w:tcPr>
          <w:p w:rsidR="004776AD" w:rsidRPr="004776AD" w:rsidRDefault="004776AD" w:rsidP="004776AD">
            <w:pPr>
              <w:rPr>
                <w:rStyle w:val="IntensiverVerweis"/>
              </w:rPr>
            </w:pPr>
            <w:r w:rsidRPr="004776AD">
              <w:rPr>
                <w:rStyle w:val="IntensiverVerweis"/>
              </w:rPr>
              <w:t>Vorher fragen vermeidet spätere Probleme</w:t>
            </w:r>
          </w:p>
          <w:p w:rsidR="004675F2" w:rsidRPr="004776AD" w:rsidRDefault="004675F2" w:rsidP="004675F2">
            <w:pPr>
              <w:pStyle w:val="txt"/>
              <w:widowControl/>
              <w:spacing w:after="0" w:line="240" w:lineRule="auto"/>
              <w:rPr>
                <w:rStyle w:val="IntensiverVerweis"/>
              </w:rPr>
            </w:pPr>
          </w:p>
          <w:p w:rsidR="004675F2" w:rsidRPr="004776AD" w:rsidRDefault="004675F2" w:rsidP="004675F2">
            <w:pPr>
              <w:pStyle w:val="txt"/>
              <w:widowControl/>
              <w:spacing w:after="0" w:line="240" w:lineRule="auto"/>
              <w:rPr>
                <w:rStyle w:val="IntensiverVerweis"/>
              </w:rPr>
            </w:pPr>
          </w:p>
        </w:tc>
      </w:tr>
    </w:tbl>
    <w:p w:rsidR="004675F2" w:rsidRPr="004675F2" w:rsidRDefault="004675F2" w:rsidP="004675F2">
      <w:pPr>
        <w:rPr>
          <w:rFonts w:cs="Arial"/>
          <w:sz w:val="20"/>
          <w:szCs w:val="20"/>
        </w:rPr>
      </w:pPr>
    </w:p>
    <w:p w:rsidR="004675F2" w:rsidRDefault="004675F2" w:rsidP="004675F2">
      <w:pPr>
        <w:pStyle w:val="txt"/>
        <w:widowControl/>
        <w:jc w:val="both"/>
        <w:rPr>
          <w:rFonts w:cs="Arial"/>
        </w:rPr>
      </w:pPr>
      <w:r w:rsidRPr="004675F2">
        <w:rPr>
          <w:rFonts w:cs="Arial"/>
        </w:rPr>
        <w:t xml:space="preserve">Mit Rücksicht auf die Gesamtheit der Nutzer und im Interesse einer ordnungsmäßigen Bewirtschaftung des Gebäudes, des Grundstücks und der Wohnung bedarf das Mitglied der vorherigen Zustimmung </w:t>
      </w:r>
      <w:r w:rsidR="004776AD">
        <w:rPr>
          <w:rFonts w:cs="Arial"/>
        </w:rPr>
        <w:t xml:space="preserve">durch die </w:t>
      </w:r>
      <w:r w:rsidRPr="004675F2">
        <w:rPr>
          <w:rFonts w:cs="Arial"/>
        </w:rPr>
        <w:t>Genossenschaft, wenn es</w:t>
      </w:r>
    </w:p>
    <w:p w:rsidR="004776AD" w:rsidRPr="004675F2" w:rsidRDefault="004776AD" w:rsidP="004675F2">
      <w:pPr>
        <w:pStyle w:val="txt"/>
        <w:widowControl/>
        <w:jc w:val="both"/>
        <w:rPr>
          <w:rFonts w:cs="Arial"/>
        </w:rPr>
      </w:pPr>
    </w:p>
    <w:p w:rsidR="004675F2" w:rsidRDefault="004675F2" w:rsidP="004675F2">
      <w:pPr>
        <w:pStyle w:val="LNum1a"/>
        <w:widowControl/>
        <w:numPr>
          <w:ilvl w:val="0"/>
          <w:numId w:val="1"/>
        </w:numPr>
        <w:tabs>
          <w:tab w:val="left" w:pos="514"/>
        </w:tabs>
        <w:jc w:val="both"/>
        <w:rPr>
          <w:rFonts w:cs="Arial"/>
        </w:rPr>
      </w:pPr>
      <w:r w:rsidRPr="004675F2">
        <w:rPr>
          <w:rFonts w:cs="Arial"/>
        </w:rPr>
        <w:t>die Wohnung oder einzelne Räume entgeltlich oder unentgeltlich Dritten überlässt, es sei denn, es handelt sich um eine unentgeltliche Aufnahme von angemessener Dauer (Besuch)</w:t>
      </w:r>
    </w:p>
    <w:p w:rsidR="004776AD" w:rsidRPr="004675F2" w:rsidRDefault="004776AD" w:rsidP="004776AD">
      <w:pPr>
        <w:pStyle w:val="LNum1a"/>
        <w:widowControl/>
        <w:tabs>
          <w:tab w:val="clear" w:pos="514"/>
        </w:tabs>
        <w:ind w:left="0" w:firstLine="0"/>
        <w:jc w:val="both"/>
        <w:rPr>
          <w:rFonts w:cs="Arial"/>
        </w:rPr>
      </w:pPr>
    </w:p>
    <w:p w:rsidR="004675F2" w:rsidRDefault="004675F2" w:rsidP="004675F2">
      <w:pPr>
        <w:pStyle w:val="LNum1a"/>
        <w:widowControl/>
        <w:numPr>
          <w:ilvl w:val="0"/>
          <w:numId w:val="1"/>
        </w:numPr>
        <w:tabs>
          <w:tab w:val="left" w:pos="514"/>
        </w:tabs>
        <w:jc w:val="both"/>
        <w:rPr>
          <w:rFonts w:cs="Arial"/>
        </w:rPr>
      </w:pPr>
      <w:r w:rsidRPr="004675F2">
        <w:rPr>
          <w:rFonts w:cs="Arial"/>
        </w:rPr>
        <w:t>die Wohnung oder einzelne Räume zu anderen als Wohnzwecken benutzt oder benutzen lässt</w:t>
      </w:r>
    </w:p>
    <w:p w:rsidR="004776AD" w:rsidRDefault="004776AD" w:rsidP="004776AD">
      <w:pPr>
        <w:pStyle w:val="Listenabsatz"/>
        <w:rPr>
          <w:rFonts w:cs="Arial"/>
        </w:rPr>
      </w:pPr>
    </w:p>
    <w:p w:rsidR="004776AD" w:rsidRPr="004675F2" w:rsidRDefault="004776AD" w:rsidP="004776AD">
      <w:pPr>
        <w:pStyle w:val="LNum1a"/>
        <w:widowControl/>
        <w:tabs>
          <w:tab w:val="clear" w:pos="514"/>
        </w:tabs>
        <w:ind w:firstLine="0"/>
        <w:jc w:val="both"/>
        <w:rPr>
          <w:rFonts w:cs="Arial"/>
        </w:rPr>
      </w:pPr>
    </w:p>
    <w:p w:rsidR="004675F2" w:rsidRDefault="004675F2" w:rsidP="004675F2">
      <w:pPr>
        <w:pStyle w:val="LNum1a"/>
        <w:widowControl/>
        <w:numPr>
          <w:ilvl w:val="0"/>
          <w:numId w:val="1"/>
        </w:numPr>
        <w:tabs>
          <w:tab w:val="left" w:pos="514"/>
        </w:tabs>
        <w:jc w:val="both"/>
        <w:rPr>
          <w:rFonts w:cs="Arial"/>
        </w:rPr>
      </w:pPr>
      <w:r w:rsidRPr="004675F2">
        <w:rPr>
          <w:rFonts w:cs="Arial"/>
        </w:rPr>
        <w:t>Schilder (ausgenommen übliche Namensschilder an den dafür vorgesehenen Stellen), Aufschriften oder Gegenstände jeglicher Art in gemeinschaftlichen Räumen, am Gebäude anbringt oder auf dem Grundstück aufstellt</w:t>
      </w:r>
    </w:p>
    <w:p w:rsidR="004776AD" w:rsidRPr="004675F2" w:rsidRDefault="004776AD" w:rsidP="004776AD">
      <w:pPr>
        <w:pStyle w:val="LNum1a"/>
        <w:widowControl/>
        <w:tabs>
          <w:tab w:val="clear" w:pos="514"/>
        </w:tabs>
        <w:ind w:firstLine="0"/>
        <w:jc w:val="both"/>
        <w:rPr>
          <w:rFonts w:cs="Arial"/>
        </w:rPr>
      </w:pPr>
    </w:p>
    <w:p w:rsidR="004675F2" w:rsidRDefault="004675F2" w:rsidP="004675F2">
      <w:pPr>
        <w:pStyle w:val="LNum1a"/>
        <w:widowControl/>
        <w:numPr>
          <w:ilvl w:val="0"/>
          <w:numId w:val="1"/>
        </w:numPr>
        <w:tabs>
          <w:tab w:val="left" w:pos="514"/>
        </w:tabs>
        <w:jc w:val="both"/>
        <w:rPr>
          <w:rFonts w:cs="Arial"/>
        </w:rPr>
      </w:pPr>
      <w:r w:rsidRPr="004675F2">
        <w:rPr>
          <w:rFonts w:cs="Arial"/>
        </w:rPr>
        <w:t>Tiere hält, soweit es sich nicht um übliche Kleintierhaltung handelt (z. B. Fische, Hamster, Vögel)</w:t>
      </w:r>
    </w:p>
    <w:p w:rsidR="004776AD" w:rsidRDefault="004776AD" w:rsidP="004776AD">
      <w:pPr>
        <w:pStyle w:val="Listenabsatz"/>
        <w:rPr>
          <w:rFonts w:cs="Arial"/>
        </w:rPr>
      </w:pPr>
    </w:p>
    <w:p w:rsidR="004776AD" w:rsidRPr="004675F2" w:rsidRDefault="004776AD" w:rsidP="004776AD">
      <w:pPr>
        <w:pStyle w:val="LNum1a"/>
        <w:widowControl/>
        <w:tabs>
          <w:tab w:val="clear" w:pos="514"/>
        </w:tabs>
        <w:ind w:firstLine="0"/>
        <w:jc w:val="both"/>
        <w:rPr>
          <w:rFonts w:cs="Arial"/>
        </w:rPr>
      </w:pPr>
    </w:p>
    <w:p w:rsidR="004675F2" w:rsidRDefault="004675F2" w:rsidP="004675F2">
      <w:pPr>
        <w:pStyle w:val="LNum1a"/>
        <w:widowControl/>
        <w:numPr>
          <w:ilvl w:val="0"/>
          <w:numId w:val="1"/>
        </w:numPr>
        <w:tabs>
          <w:tab w:val="left" w:pos="514"/>
        </w:tabs>
        <w:jc w:val="both"/>
        <w:rPr>
          <w:rFonts w:cs="Arial"/>
        </w:rPr>
      </w:pPr>
      <w:r w:rsidRPr="004675F2">
        <w:rPr>
          <w:rFonts w:cs="Arial"/>
        </w:rPr>
        <w:t>Antennen außerhalb der geschlossenen Räume aufstellt, anbringt oder verändert</w:t>
      </w:r>
    </w:p>
    <w:p w:rsidR="004776AD" w:rsidRPr="004675F2" w:rsidRDefault="004776AD" w:rsidP="004776AD">
      <w:pPr>
        <w:pStyle w:val="LNum1a"/>
        <w:widowControl/>
        <w:tabs>
          <w:tab w:val="clear" w:pos="514"/>
        </w:tabs>
        <w:ind w:firstLine="0"/>
        <w:jc w:val="both"/>
        <w:rPr>
          <w:rFonts w:cs="Arial"/>
        </w:rPr>
      </w:pPr>
    </w:p>
    <w:p w:rsidR="004675F2" w:rsidRDefault="004675F2" w:rsidP="004675F2">
      <w:pPr>
        <w:pStyle w:val="LNum1a"/>
        <w:widowControl/>
        <w:numPr>
          <w:ilvl w:val="0"/>
          <w:numId w:val="1"/>
        </w:numPr>
        <w:tabs>
          <w:tab w:val="left" w:pos="514"/>
        </w:tabs>
        <w:jc w:val="both"/>
        <w:rPr>
          <w:rFonts w:cs="Arial"/>
        </w:rPr>
      </w:pPr>
      <w:r w:rsidRPr="004675F2">
        <w:rPr>
          <w:rFonts w:cs="Arial"/>
        </w:rPr>
        <w:t xml:space="preserve">von </w:t>
      </w:r>
      <w:r w:rsidR="004776AD">
        <w:rPr>
          <w:rFonts w:cs="Arial"/>
        </w:rPr>
        <w:t>der</w:t>
      </w:r>
      <w:r w:rsidRPr="004675F2">
        <w:rPr>
          <w:rFonts w:cs="Arial"/>
        </w:rPr>
        <w:t xml:space="preserve"> vereinbarten Beheizungsart abweicht</w:t>
      </w:r>
    </w:p>
    <w:p w:rsidR="004776AD" w:rsidRDefault="004776AD" w:rsidP="004776AD">
      <w:pPr>
        <w:pStyle w:val="Listenabsatz"/>
        <w:rPr>
          <w:rFonts w:cs="Arial"/>
        </w:rPr>
      </w:pPr>
    </w:p>
    <w:p w:rsidR="004776AD" w:rsidRPr="004675F2" w:rsidRDefault="004776AD" w:rsidP="004776AD">
      <w:pPr>
        <w:pStyle w:val="LNum1a"/>
        <w:widowControl/>
        <w:tabs>
          <w:tab w:val="clear" w:pos="514"/>
        </w:tabs>
        <w:ind w:firstLine="0"/>
        <w:jc w:val="both"/>
        <w:rPr>
          <w:rFonts w:cs="Arial"/>
        </w:rPr>
      </w:pPr>
    </w:p>
    <w:p w:rsidR="004675F2" w:rsidRDefault="004675F2" w:rsidP="004675F2">
      <w:pPr>
        <w:pStyle w:val="LNum1a"/>
        <w:widowControl/>
        <w:numPr>
          <w:ilvl w:val="0"/>
          <w:numId w:val="1"/>
        </w:numPr>
        <w:tabs>
          <w:tab w:val="left" w:pos="514"/>
        </w:tabs>
        <w:jc w:val="both"/>
        <w:rPr>
          <w:rFonts w:cs="Arial"/>
        </w:rPr>
      </w:pPr>
      <w:r w:rsidRPr="004675F2">
        <w:rPr>
          <w:rFonts w:cs="Arial"/>
        </w:rPr>
        <w:t>in den zur Nutzung überlassenen Räumen, im Gebäude oder auf dem Grundstück außerhalb vorgesehener Park-, Einstell- oder Abstellplätze ein Kraftfahrzeug einschließlich Moped oder Mofa abstellen will</w:t>
      </w:r>
    </w:p>
    <w:p w:rsidR="004776AD" w:rsidRPr="004675F2" w:rsidRDefault="004776AD" w:rsidP="004776AD">
      <w:pPr>
        <w:pStyle w:val="LNum1a"/>
        <w:widowControl/>
        <w:tabs>
          <w:tab w:val="clear" w:pos="514"/>
        </w:tabs>
        <w:ind w:firstLine="0"/>
        <w:jc w:val="both"/>
        <w:rPr>
          <w:rFonts w:cs="Arial"/>
        </w:rPr>
      </w:pPr>
    </w:p>
    <w:p w:rsidR="004675F2" w:rsidRDefault="004675F2" w:rsidP="004675F2">
      <w:pPr>
        <w:pStyle w:val="LNum1a"/>
        <w:widowControl/>
        <w:numPr>
          <w:ilvl w:val="0"/>
          <w:numId w:val="1"/>
        </w:numPr>
        <w:tabs>
          <w:tab w:val="left" w:pos="514"/>
        </w:tabs>
        <w:jc w:val="both"/>
        <w:rPr>
          <w:rFonts w:cs="Arial"/>
        </w:rPr>
      </w:pPr>
      <w:r w:rsidRPr="004675F2">
        <w:rPr>
          <w:rFonts w:cs="Arial"/>
        </w:rPr>
        <w:t>Um-, An- und Einbauten sowie Installationen vornimmt, die zur Nutzung überlassenen Räume, Anlagen oder Einrichtungen verändert; dies gilt auch, soweit die Maßnahmen für die behindertengerechte Nutzung der überlassenen Räume oder den Zugang zu ihnen erforderlich sind</w:t>
      </w:r>
    </w:p>
    <w:p w:rsidR="004776AD" w:rsidRDefault="004776AD" w:rsidP="004776AD">
      <w:pPr>
        <w:pStyle w:val="Listenabsatz"/>
        <w:rPr>
          <w:rFonts w:cs="Arial"/>
        </w:rPr>
      </w:pPr>
    </w:p>
    <w:p w:rsidR="004776AD" w:rsidRPr="004675F2" w:rsidRDefault="004776AD" w:rsidP="004776AD">
      <w:pPr>
        <w:pStyle w:val="LNum1a"/>
        <w:widowControl/>
        <w:tabs>
          <w:tab w:val="clear" w:pos="514"/>
        </w:tabs>
        <w:ind w:firstLine="0"/>
        <w:jc w:val="both"/>
        <w:rPr>
          <w:rFonts w:cs="Arial"/>
        </w:rPr>
      </w:pPr>
    </w:p>
    <w:p w:rsidR="004675F2" w:rsidRDefault="004675F2" w:rsidP="004675F2">
      <w:pPr>
        <w:pStyle w:val="LNum1a"/>
        <w:widowControl/>
        <w:numPr>
          <w:ilvl w:val="0"/>
          <w:numId w:val="1"/>
        </w:numPr>
        <w:tabs>
          <w:tab w:val="left" w:pos="514"/>
        </w:tabs>
        <w:jc w:val="both"/>
        <w:rPr>
          <w:rFonts w:cs="Arial"/>
        </w:rPr>
      </w:pPr>
      <w:r w:rsidRPr="004675F2">
        <w:rPr>
          <w:rFonts w:cs="Arial"/>
        </w:rPr>
        <w:t>an der Außenfassade Sonnenmarkisen jeglicher Art anbringt</w:t>
      </w:r>
    </w:p>
    <w:p w:rsidR="004776AD" w:rsidRPr="004675F2" w:rsidRDefault="004776AD" w:rsidP="004776AD">
      <w:pPr>
        <w:pStyle w:val="LNum1a"/>
        <w:widowControl/>
        <w:tabs>
          <w:tab w:val="clear" w:pos="514"/>
        </w:tabs>
        <w:ind w:firstLine="0"/>
        <w:jc w:val="both"/>
        <w:rPr>
          <w:rFonts w:cs="Arial"/>
        </w:rPr>
      </w:pPr>
    </w:p>
    <w:p w:rsidR="004675F2" w:rsidRDefault="004675F2" w:rsidP="004675F2">
      <w:pPr>
        <w:pStyle w:val="LNum1a"/>
        <w:widowControl/>
        <w:numPr>
          <w:ilvl w:val="0"/>
          <w:numId w:val="1"/>
        </w:numPr>
        <w:tabs>
          <w:tab w:val="left" w:pos="514"/>
        </w:tabs>
        <w:jc w:val="both"/>
        <w:rPr>
          <w:rFonts w:cs="Arial"/>
        </w:rPr>
      </w:pPr>
      <w:r w:rsidRPr="004675F2">
        <w:rPr>
          <w:rFonts w:cs="Arial"/>
        </w:rPr>
        <w:t>Heizöl oder andere feuergefährliche Stoffe lagern will</w:t>
      </w:r>
    </w:p>
    <w:p w:rsidR="004776AD" w:rsidRDefault="004776AD" w:rsidP="004776AD">
      <w:pPr>
        <w:pStyle w:val="Listenabsatz"/>
        <w:rPr>
          <w:rFonts w:cs="Arial"/>
        </w:rPr>
      </w:pPr>
    </w:p>
    <w:p w:rsidR="004776AD" w:rsidRPr="004675F2" w:rsidRDefault="004776AD" w:rsidP="004776AD">
      <w:pPr>
        <w:pStyle w:val="LNum1a"/>
        <w:widowControl/>
        <w:tabs>
          <w:tab w:val="clear" w:pos="514"/>
        </w:tabs>
        <w:ind w:firstLine="0"/>
        <w:jc w:val="both"/>
        <w:rPr>
          <w:rFonts w:cs="Arial"/>
        </w:rPr>
      </w:pPr>
    </w:p>
    <w:p w:rsidR="004675F2" w:rsidRPr="004675F2" w:rsidRDefault="004675F2" w:rsidP="004675F2">
      <w:pPr>
        <w:pStyle w:val="LNum1a"/>
        <w:widowControl/>
        <w:numPr>
          <w:ilvl w:val="0"/>
          <w:numId w:val="1"/>
        </w:numPr>
        <w:tabs>
          <w:tab w:val="left" w:pos="514"/>
        </w:tabs>
        <w:jc w:val="both"/>
        <w:rPr>
          <w:rFonts w:cs="Arial"/>
        </w:rPr>
      </w:pPr>
      <w:r w:rsidRPr="004675F2">
        <w:rPr>
          <w:rFonts w:cs="Arial"/>
        </w:rPr>
        <w:t>weitere Schlüssel anfertigen lassen will.</w:t>
      </w:r>
    </w:p>
    <w:p w:rsidR="004675F2" w:rsidRPr="004675F2" w:rsidRDefault="004675F2" w:rsidP="004675F2">
      <w:pPr>
        <w:pStyle w:val="txt"/>
        <w:widowControl/>
        <w:jc w:val="both"/>
        <w:rPr>
          <w:rFonts w:cs="Arial"/>
        </w:rPr>
      </w:pPr>
    </w:p>
    <w:p w:rsidR="004675F2" w:rsidRPr="004675F2" w:rsidRDefault="004675F2" w:rsidP="004675F2">
      <w:pPr>
        <w:pStyle w:val="txt"/>
        <w:widowControl/>
        <w:jc w:val="both"/>
        <w:rPr>
          <w:rFonts w:cs="Arial"/>
        </w:rPr>
      </w:pPr>
      <w:r w:rsidRPr="004675F2">
        <w:rPr>
          <w:rFonts w:cs="Arial"/>
        </w:rPr>
        <w:t xml:space="preserve">Die Zustimmung der Genossenschaft </w:t>
      </w:r>
      <w:r w:rsidR="004776AD">
        <w:rPr>
          <w:rFonts w:cs="Arial"/>
        </w:rPr>
        <w:t>muss</w:t>
      </w:r>
      <w:bookmarkStart w:id="0" w:name="_GoBack"/>
      <w:bookmarkEnd w:id="0"/>
      <w:r w:rsidRPr="004675F2">
        <w:rPr>
          <w:rFonts w:cs="Arial"/>
        </w:rPr>
        <w:t xml:space="preserve"> schriftlich erfolgen; dies schließt nicht aus, dass die Vertragsparteien im Einzelfall eine mündliche Vereinbarung treffen. Die Zustimmung kann unter Auflagen erfolgen.</w:t>
      </w:r>
    </w:p>
    <w:p w:rsidR="004675F2" w:rsidRDefault="004675F2" w:rsidP="004675F2">
      <w:pPr>
        <w:pStyle w:val="txt"/>
        <w:widowControl/>
        <w:jc w:val="both"/>
        <w:rPr>
          <w:rFonts w:cs="Arial"/>
        </w:rPr>
      </w:pPr>
    </w:p>
    <w:p w:rsidR="004675F2" w:rsidRPr="004675F2" w:rsidRDefault="004675F2" w:rsidP="004675F2">
      <w:pPr>
        <w:pStyle w:val="txt"/>
        <w:widowControl/>
        <w:jc w:val="both"/>
        <w:rPr>
          <w:rFonts w:cs="Arial"/>
        </w:rPr>
      </w:pPr>
      <w:r w:rsidRPr="004675F2">
        <w:rPr>
          <w:rFonts w:cs="Arial"/>
        </w:rPr>
        <w:lastRenderedPageBreak/>
        <w:t>Die Genossenschaft kann eine erteilte Zustimmung widerrufen, wenn Auflagen nicht eingehalten, Bewohner, Gebäude oder Grundstücke gefährdet oder beeinträchtigt oder Nachbarn belästigt werden oder sich Umstände ergeben, unter denen eine Zustimmung nicht mehr erteilt werden würde.</w:t>
      </w:r>
    </w:p>
    <w:p w:rsidR="004675F2" w:rsidRPr="004675F2" w:rsidRDefault="004675F2" w:rsidP="004675F2">
      <w:pPr>
        <w:pStyle w:val="txt"/>
        <w:widowControl/>
        <w:jc w:val="both"/>
        <w:rPr>
          <w:rFonts w:cs="Arial"/>
        </w:rPr>
      </w:pPr>
    </w:p>
    <w:p w:rsidR="004675F2" w:rsidRPr="004675F2" w:rsidRDefault="004675F2" w:rsidP="004675F2">
      <w:pPr>
        <w:pStyle w:val="txt"/>
        <w:widowControl/>
        <w:jc w:val="both"/>
        <w:rPr>
          <w:rFonts w:cs="Arial"/>
        </w:rPr>
      </w:pPr>
      <w:r w:rsidRPr="004675F2">
        <w:rPr>
          <w:rFonts w:cs="Arial"/>
        </w:rPr>
        <w:t>Durch die Zustimmung der Genossenschaft wird eine etwaige Haftung des Mitglieds nicht ausgeschlossen.</w:t>
      </w:r>
    </w:p>
    <w:p w:rsidR="004675F2" w:rsidRPr="004675F2" w:rsidRDefault="004675F2" w:rsidP="004675F2">
      <w:pPr>
        <w:pStyle w:val="txt"/>
        <w:widowControl/>
        <w:jc w:val="both"/>
        <w:rPr>
          <w:rFonts w:cs="Arial"/>
        </w:rPr>
      </w:pPr>
    </w:p>
    <w:p w:rsidR="004675F2" w:rsidRPr="004675F2" w:rsidRDefault="004675F2" w:rsidP="004675F2">
      <w:pPr>
        <w:pStyle w:val="txt"/>
        <w:widowControl/>
        <w:jc w:val="both"/>
        <w:rPr>
          <w:rFonts w:cs="Arial"/>
        </w:rPr>
      </w:pPr>
      <w:r w:rsidRPr="004675F2">
        <w:rPr>
          <w:rFonts w:cs="Arial"/>
        </w:rPr>
        <w:t>Für Aufstellung und Betrieb von haushaltsüblichen Waschmaschinen, Trockenautomaten und Geschirrspülmaschinen bedarf das Mitglied keiner vorherigen Zustimmung der Genossenschaft. Das Mitglied hat dabei jedoch die einschlägigen technischen Vorschriften und die verkehrsüblichen Regeln zu beachten, um die mit der Aufstellung und Betrieb derartiger Geräte verbundenen Beeinträchtigungen und Schäden zu verhindern.</w:t>
      </w:r>
    </w:p>
    <w:p w:rsidR="004675F2" w:rsidRDefault="004675F2" w:rsidP="004675F2">
      <w:pPr>
        <w:pStyle w:val="txt"/>
        <w:widowControl/>
        <w:jc w:val="both"/>
        <w:rPr>
          <w:rFonts w:cs="Arial"/>
        </w:rPr>
      </w:pPr>
    </w:p>
    <w:p w:rsidR="004675F2" w:rsidRPr="004675F2" w:rsidRDefault="004675F2" w:rsidP="004675F2">
      <w:pPr>
        <w:pStyle w:val="txt"/>
        <w:widowControl/>
        <w:jc w:val="both"/>
        <w:rPr>
          <w:rFonts w:cs="Arial"/>
        </w:rPr>
      </w:pPr>
      <w:r w:rsidRPr="004675F2">
        <w:rPr>
          <w:rFonts w:cs="Arial"/>
        </w:rPr>
        <w:t>Vor Aufstellung hat das Mitglied der Genossenschaft seine Absicht anzuzeigen, damit eventuelle Gefahren für die überlassene Wohnung etc. abgeklärt werden können.</w:t>
      </w:r>
    </w:p>
    <w:p w:rsidR="001835D4" w:rsidRPr="004675F2" w:rsidRDefault="001835D4">
      <w:pPr>
        <w:rPr>
          <w:sz w:val="20"/>
          <w:szCs w:val="20"/>
        </w:rPr>
      </w:pPr>
    </w:p>
    <w:sectPr w:rsidR="001835D4" w:rsidRPr="004675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662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num w:numId="1">
    <w:abstractNumId w:val="0"/>
    <w:lvlOverride w:ilvl="0">
      <w:startOverride w:val="1"/>
      <w:lvl w:ilvl="0">
        <w:start w:val="1"/>
        <w:numFmt w:val="lowerLetter"/>
        <w:lvlText w:val="%1)"/>
        <w:lvlJc w:val="left"/>
        <w:pPr>
          <w:tabs>
            <w:tab w:val="num" w:pos="514"/>
          </w:tabs>
          <w:ind w:left="514" w:hanging="51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5F2"/>
    <w:rsid w:val="001835D4"/>
    <w:rsid w:val="004675F2"/>
    <w:rsid w:val="00477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BB5A"/>
  <w15:chartTrackingRefBased/>
  <w15:docId w15:val="{1BD712A5-D4A6-4BB7-A281-BB3E683F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75F2"/>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xt">
    <w:name w:val="txt"/>
    <w:rsid w:val="004675F2"/>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character" w:customStyle="1" w:styleId="hvhf">
    <w:name w:val="hvh_f"/>
    <w:rsid w:val="004675F2"/>
    <w:rPr>
      <w:b/>
    </w:rPr>
  </w:style>
  <w:style w:type="paragraph" w:customStyle="1" w:styleId="LNum1a">
    <w:name w:val="LNum1a"/>
    <w:basedOn w:val="txt"/>
    <w:rsid w:val="004675F2"/>
    <w:pPr>
      <w:tabs>
        <w:tab w:val="left" w:pos="514"/>
      </w:tabs>
      <w:spacing w:after="80"/>
      <w:ind w:left="514" w:hanging="514"/>
    </w:pPr>
  </w:style>
  <w:style w:type="character" w:styleId="IntensiverVerweis">
    <w:name w:val="Intense Reference"/>
    <w:basedOn w:val="Absatz-Standardschriftart"/>
    <w:uiPriority w:val="32"/>
    <w:qFormat/>
    <w:rsid w:val="004776AD"/>
    <w:rPr>
      <w:b/>
      <w:bCs/>
      <w:smallCaps/>
      <w:color w:val="4472C4" w:themeColor="accent1"/>
      <w:spacing w:val="5"/>
    </w:rPr>
  </w:style>
  <w:style w:type="paragraph" w:styleId="Listenabsatz">
    <w:name w:val="List Paragraph"/>
    <w:basedOn w:val="Standard"/>
    <w:uiPriority w:val="34"/>
    <w:qFormat/>
    <w:rsid w:val="00477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Kutscher, Norbert</dc:creator>
  <cp:keywords/>
  <dc:description/>
  <cp:lastModifiedBy>Kutscher, Norbert</cp:lastModifiedBy>
  <cp:revision>2</cp:revision>
  <dcterms:created xsi:type="dcterms:W3CDTF">2019-08-27T09:18:00Z</dcterms:created>
  <dcterms:modified xsi:type="dcterms:W3CDTF">2019-08-27T09:43:00Z</dcterms:modified>
</cp:coreProperties>
</file>